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E98F" w14:textId="77777777" w:rsidR="00371C6F" w:rsidRPr="00476FD5" w:rsidRDefault="00371C6F">
      <w:pPr>
        <w:rPr>
          <w:b/>
          <w:sz w:val="24"/>
          <w:szCs w:val="24"/>
        </w:rPr>
      </w:pPr>
      <w:r w:rsidRPr="00476FD5">
        <w:rPr>
          <w:rFonts w:hint="eastAsia"/>
          <w:b/>
          <w:sz w:val="24"/>
          <w:szCs w:val="24"/>
        </w:rPr>
        <w:t>別紙２　ＨＡＣＣＰチェックシート</w:t>
      </w:r>
    </w:p>
    <w:p w14:paraId="1023F4A9" w14:textId="77777777" w:rsidR="00371C6F" w:rsidRPr="00476FD5" w:rsidRDefault="00371C6F">
      <w:pPr>
        <w:pStyle w:val="a0"/>
        <w:rPr>
          <w:sz w:val="24"/>
          <w:szCs w:val="24"/>
        </w:rPr>
      </w:pPr>
    </w:p>
    <w:p w14:paraId="4E6DA57A" w14:textId="77777777" w:rsidR="00371C6F" w:rsidRPr="00476FD5" w:rsidRDefault="00371C6F">
      <w:pPr>
        <w:pStyle w:val="a0"/>
        <w:rPr>
          <w:sz w:val="24"/>
          <w:szCs w:val="24"/>
        </w:rPr>
      </w:pPr>
    </w:p>
    <w:p w14:paraId="5F7207FE" w14:textId="77777777" w:rsidR="00371C6F" w:rsidRPr="00476FD5" w:rsidRDefault="00371C6F">
      <w:pPr>
        <w:rPr>
          <w:sz w:val="24"/>
          <w:szCs w:val="24"/>
        </w:rPr>
      </w:pPr>
      <w:r w:rsidRPr="00476FD5">
        <w:rPr>
          <w:rFonts w:hint="eastAsia"/>
          <w:sz w:val="24"/>
          <w:szCs w:val="24"/>
        </w:rPr>
        <w:t xml:space="preserve">　　１　認定前の検査</w:t>
      </w:r>
    </w:p>
    <w:p w14:paraId="34A990D6" w14:textId="77777777" w:rsidR="00371C6F" w:rsidRPr="00476FD5" w:rsidRDefault="00FB307C" w:rsidP="002A6C5A">
      <w:pPr>
        <w:pStyle w:val="a0"/>
        <w:numPr>
          <w:ilvl w:val="0"/>
          <w:numId w:val="1"/>
        </w:numPr>
        <w:rPr>
          <w:sz w:val="24"/>
          <w:szCs w:val="24"/>
        </w:rPr>
      </w:pPr>
      <w:r w:rsidRPr="00476FD5">
        <w:rPr>
          <w:rFonts w:hint="eastAsia"/>
          <w:sz w:val="24"/>
          <w:szCs w:val="24"/>
        </w:rPr>
        <w:t>米国向け</w:t>
      </w:r>
      <w:r w:rsidR="00371C6F" w:rsidRPr="00476FD5">
        <w:rPr>
          <w:rFonts w:hint="eastAsia"/>
          <w:sz w:val="24"/>
          <w:szCs w:val="24"/>
        </w:rPr>
        <w:t>輸出水産食品加工施設の原材料及び加工の工程において、米国</w:t>
      </w:r>
      <w:r w:rsidR="00371C6F" w:rsidRPr="00476FD5">
        <w:rPr>
          <w:sz w:val="24"/>
          <w:szCs w:val="24"/>
        </w:rPr>
        <w:t>FDA</w:t>
      </w:r>
      <w:r w:rsidR="00371C6F" w:rsidRPr="00476FD5">
        <w:rPr>
          <w:rFonts w:hint="eastAsia"/>
          <w:sz w:val="24"/>
          <w:szCs w:val="24"/>
        </w:rPr>
        <w:t>が発行した危害及びその管理に関するガイド</w:t>
      </w:r>
      <w:r w:rsidR="00371C6F" w:rsidRPr="00476FD5">
        <w:rPr>
          <w:sz w:val="24"/>
          <w:szCs w:val="24"/>
        </w:rPr>
        <w:t>(Hazards and Controls Guide)</w:t>
      </w:r>
      <w:r w:rsidR="00371C6F" w:rsidRPr="00476FD5">
        <w:rPr>
          <w:rFonts w:hint="eastAsia"/>
          <w:sz w:val="24"/>
          <w:szCs w:val="24"/>
        </w:rPr>
        <w:t>に基づき、発生する可能性のある</w:t>
      </w:r>
      <w:r w:rsidR="00371C6F" w:rsidRPr="00476FD5">
        <w:rPr>
          <w:rFonts w:hint="eastAsia"/>
          <w:sz w:val="24"/>
          <w:szCs w:val="24"/>
          <w:u w:val="single"/>
        </w:rPr>
        <w:t>潜在的な</w:t>
      </w:r>
      <w:r w:rsidR="00371C6F" w:rsidRPr="00476FD5">
        <w:rPr>
          <w:rFonts w:hint="eastAsia"/>
          <w:sz w:val="24"/>
          <w:szCs w:val="24"/>
        </w:rPr>
        <w:t>危害原因物質について危害分析を行っているか。</w:t>
      </w:r>
    </w:p>
    <w:p w14:paraId="68263B5B" w14:textId="77777777" w:rsidR="00371C6F" w:rsidRPr="00476FD5" w:rsidRDefault="00371C6F" w:rsidP="002A6C5A">
      <w:pPr>
        <w:pStyle w:val="a0"/>
        <w:numPr>
          <w:ilvl w:val="0"/>
          <w:numId w:val="1"/>
        </w:numPr>
        <w:rPr>
          <w:sz w:val="24"/>
          <w:szCs w:val="24"/>
        </w:rPr>
      </w:pPr>
      <w:r w:rsidRPr="00476FD5">
        <w:rPr>
          <w:rFonts w:hint="eastAsia"/>
          <w:sz w:val="24"/>
          <w:szCs w:val="24"/>
        </w:rPr>
        <w:t>アの結果、</w:t>
      </w:r>
      <w:r w:rsidRPr="00476FD5">
        <w:rPr>
          <w:rFonts w:hint="eastAsia"/>
          <w:sz w:val="24"/>
          <w:szCs w:val="24"/>
          <w:u w:val="single"/>
        </w:rPr>
        <w:t>潜在的な</w:t>
      </w:r>
      <w:r w:rsidRPr="00476FD5">
        <w:rPr>
          <w:rFonts w:hint="eastAsia"/>
          <w:sz w:val="24"/>
          <w:szCs w:val="24"/>
        </w:rPr>
        <w:t>危害原因物質が重要ではないため、ＨＡＣＣＰプランに含む必要がないと判断した理由はあるか、また、科学的に妥当なものか。</w:t>
      </w:r>
    </w:p>
    <w:p w14:paraId="1DBFF531" w14:textId="77777777" w:rsidR="00371C6F" w:rsidRPr="00476FD5" w:rsidRDefault="00371C6F" w:rsidP="002A6C5A">
      <w:pPr>
        <w:pStyle w:val="a0"/>
        <w:numPr>
          <w:ilvl w:val="0"/>
          <w:numId w:val="1"/>
        </w:numPr>
        <w:rPr>
          <w:sz w:val="24"/>
          <w:szCs w:val="24"/>
        </w:rPr>
      </w:pPr>
      <w:r w:rsidRPr="00476FD5">
        <w:rPr>
          <w:rFonts w:hint="eastAsia"/>
          <w:sz w:val="24"/>
          <w:szCs w:val="24"/>
        </w:rPr>
        <w:t>アの結果、発生する可能性のある</w:t>
      </w:r>
      <w:r w:rsidRPr="00476FD5">
        <w:rPr>
          <w:rFonts w:hint="eastAsia"/>
          <w:sz w:val="24"/>
          <w:szCs w:val="24"/>
          <w:u w:val="single"/>
        </w:rPr>
        <w:t>重要な</w:t>
      </w:r>
      <w:r w:rsidRPr="00476FD5">
        <w:rPr>
          <w:rFonts w:hint="eastAsia"/>
          <w:sz w:val="24"/>
          <w:szCs w:val="24"/>
        </w:rPr>
        <w:t>危害原因物質について適切な防止措置が設定され、ＣＣＰが特定されているか。</w:t>
      </w:r>
    </w:p>
    <w:p w14:paraId="682E1830" w14:textId="77777777" w:rsidR="00371C6F" w:rsidRPr="00476FD5" w:rsidRDefault="00371C6F" w:rsidP="002A6C5A">
      <w:pPr>
        <w:pStyle w:val="a0"/>
        <w:numPr>
          <w:ilvl w:val="0"/>
          <w:numId w:val="1"/>
        </w:numPr>
        <w:rPr>
          <w:sz w:val="24"/>
          <w:szCs w:val="24"/>
        </w:rPr>
      </w:pPr>
      <w:r w:rsidRPr="00476FD5">
        <w:rPr>
          <w:rFonts w:hint="eastAsia"/>
          <w:sz w:val="24"/>
          <w:szCs w:val="24"/>
        </w:rPr>
        <w:t>各々の重要管理点には、工程の管理が適切に行われていることを保証できる管理基準が設定されているか。</w:t>
      </w:r>
    </w:p>
    <w:p w14:paraId="4B62DCE7" w14:textId="77777777" w:rsidR="00371C6F" w:rsidRPr="00476FD5" w:rsidRDefault="00371C6F" w:rsidP="002A6C5A">
      <w:pPr>
        <w:pStyle w:val="a0"/>
        <w:numPr>
          <w:ilvl w:val="0"/>
          <w:numId w:val="1"/>
        </w:numPr>
        <w:rPr>
          <w:sz w:val="24"/>
          <w:szCs w:val="24"/>
        </w:rPr>
      </w:pPr>
      <w:r w:rsidRPr="00476FD5">
        <w:rPr>
          <w:rFonts w:hint="eastAsia"/>
          <w:sz w:val="24"/>
          <w:szCs w:val="24"/>
        </w:rPr>
        <w:t>各々の重要管理点には管理基準が遵守されていることを確認するための、適切なモニタリング方法（誰が、何を、どのようにして、どのような頻度でモニタリングするかが含まれていること）が規定されているか。</w:t>
      </w:r>
    </w:p>
    <w:p w14:paraId="2AC1603D" w14:textId="77777777" w:rsidR="00371C6F" w:rsidRPr="00476FD5" w:rsidRDefault="00371C6F" w:rsidP="002A6C5A">
      <w:pPr>
        <w:pStyle w:val="a0"/>
        <w:numPr>
          <w:ilvl w:val="0"/>
          <w:numId w:val="1"/>
        </w:numPr>
        <w:rPr>
          <w:sz w:val="24"/>
          <w:szCs w:val="24"/>
        </w:rPr>
      </w:pPr>
      <w:r w:rsidRPr="00476FD5">
        <w:rPr>
          <w:rFonts w:hint="eastAsia"/>
          <w:sz w:val="24"/>
          <w:szCs w:val="24"/>
        </w:rPr>
        <w:t>各々の重要管理点には、管理基準から逸脱した際に、工程の管理状態を元に戻す措置及び影響を受けた製品に対する措置を含む改善措置が規定されているか、または別添２</w:t>
      </w:r>
      <w:r w:rsidR="00476FD5">
        <w:rPr>
          <w:rFonts w:hint="eastAsia"/>
          <w:sz w:val="24"/>
          <w:szCs w:val="24"/>
        </w:rPr>
        <w:t>の</w:t>
      </w:r>
      <w:r w:rsidRPr="00476FD5">
        <w:rPr>
          <w:sz w:val="24"/>
          <w:szCs w:val="24"/>
        </w:rPr>
        <w:t xml:space="preserve"> </w:t>
      </w:r>
      <w:r w:rsidRPr="00476FD5">
        <w:rPr>
          <w:rFonts w:hint="eastAsia"/>
          <w:sz w:val="24"/>
          <w:szCs w:val="24"/>
        </w:rPr>
        <w:t>１</w:t>
      </w:r>
      <w:r w:rsidRPr="00476FD5">
        <w:rPr>
          <w:sz w:val="24"/>
          <w:szCs w:val="24"/>
        </w:rPr>
        <w:t>(</w:t>
      </w:r>
      <w:r w:rsidRPr="00476FD5">
        <w:rPr>
          <w:rFonts w:hint="eastAsia"/>
          <w:sz w:val="24"/>
          <w:szCs w:val="24"/>
        </w:rPr>
        <w:t>４</w:t>
      </w:r>
      <w:r w:rsidRPr="00476FD5">
        <w:rPr>
          <w:sz w:val="24"/>
          <w:szCs w:val="24"/>
        </w:rPr>
        <w:t>)</w:t>
      </w:r>
      <w:r w:rsidRPr="00476FD5">
        <w:rPr>
          <w:rFonts w:hint="eastAsia"/>
          <w:sz w:val="24"/>
          <w:szCs w:val="24"/>
        </w:rPr>
        <w:t>ウの標準的な改善措置に従うことになっているか。</w:t>
      </w:r>
    </w:p>
    <w:p w14:paraId="5795C13A" w14:textId="77777777" w:rsidR="00371C6F" w:rsidRPr="00476FD5" w:rsidRDefault="00371C6F" w:rsidP="002A6C5A">
      <w:pPr>
        <w:pStyle w:val="a0"/>
        <w:numPr>
          <w:ilvl w:val="0"/>
          <w:numId w:val="1"/>
        </w:numPr>
        <w:rPr>
          <w:sz w:val="24"/>
          <w:szCs w:val="24"/>
        </w:rPr>
      </w:pPr>
      <w:r w:rsidRPr="00476FD5">
        <w:rPr>
          <w:rFonts w:hint="eastAsia"/>
          <w:sz w:val="24"/>
          <w:szCs w:val="24"/>
        </w:rPr>
        <w:t>検証には、記録の評価、モニタリングに用いる計器の校正及び必要に応じ最終製品又は中間製品の試験検査が含まれているか。</w:t>
      </w:r>
    </w:p>
    <w:p w14:paraId="2722A956" w14:textId="77777777" w:rsidR="00371C6F" w:rsidRPr="00476FD5" w:rsidRDefault="00371C6F" w:rsidP="002A6C5A">
      <w:pPr>
        <w:pStyle w:val="a0"/>
        <w:numPr>
          <w:ilvl w:val="0"/>
          <w:numId w:val="1"/>
        </w:numPr>
        <w:rPr>
          <w:sz w:val="24"/>
          <w:szCs w:val="24"/>
        </w:rPr>
      </w:pPr>
      <w:r w:rsidRPr="00476FD5">
        <w:rPr>
          <w:rFonts w:hint="eastAsia"/>
          <w:sz w:val="24"/>
          <w:szCs w:val="24"/>
        </w:rPr>
        <w:t>別添２</w:t>
      </w:r>
      <w:r w:rsidR="00476FD5">
        <w:rPr>
          <w:rFonts w:hint="eastAsia"/>
          <w:sz w:val="24"/>
          <w:szCs w:val="24"/>
        </w:rPr>
        <w:t>の</w:t>
      </w:r>
      <w:r w:rsidRPr="00476FD5">
        <w:rPr>
          <w:rFonts w:hint="eastAsia"/>
          <w:sz w:val="24"/>
          <w:szCs w:val="24"/>
        </w:rPr>
        <w:t>３</w:t>
      </w:r>
      <w:r w:rsidRPr="00476FD5">
        <w:rPr>
          <w:sz w:val="24"/>
          <w:szCs w:val="24"/>
        </w:rPr>
        <w:t>(</w:t>
      </w:r>
      <w:r w:rsidRPr="00476FD5">
        <w:rPr>
          <w:rFonts w:hint="eastAsia"/>
          <w:sz w:val="24"/>
          <w:szCs w:val="24"/>
        </w:rPr>
        <w:t>２</w:t>
      </w:r>
      <w:r w:rsidRPr="00476FD5">
        <w:rPr>
          <w:sz w:val="24"/>
          <w:szCs w:val="24"/>
        </w:rPr>
        <w:t>)</w:t>
      </w:r>
      <w:r w:rsidRPr="00476FD5">
        <w:rPr>
          <w:rFonts w:hint="eastAsia"/>
          <w:sz w:val="24"/>
          <w:szCs w:val="24"/>
        </w:rPr>
        <w:t>ア</w:t>
      </w:r>
      <w:r w:rsidR="00476FD5">
        <w:rPr>
          <w:rFonts w:hint="eastAsia"/>
          <w:sz w:val="24"/>
          <w:szCs w:val="24"/>
        </w:rPr>
        <w:t>から</w:t>
      </w:r>
      <w:r w:rsidRPr="00476FD5">
        <w:rPr>
          <w:rFonts w:hint="eastAsia"/>
          <w:sz w:val="24"/>
          <w:szCs w:val="24"/>
        </w:rPr>
        <w:t>ク</w:t>
      </w:r>
      <w:r w:rsidR="00476FD5">
        <w:rPr>
          <w:rFonts w:hint="eastAsia"/>
          <w:sz w:val="24"/>
          <w:szCs w:val="24"/>
        </w:rPr>
        <w:t>まで</w:t>
      </w:r>
      <w:r w:rsidRPr="00476FD5">
        <w:rPr>
          <w:rFonts w:hint="eastAsia"/>
          <w:sz w:val="24"/>
          <w:szCs w:val="24"/>
        </w:rPr>
        <w:t>に規定された８項目について、定期的に実施状況を点検し、記録し、必要に応じ改善措置を講じているか。</w:t>
      </w:r>
    </w:p>
    <w:p w14:paraId="77C704DB" w14:textId="77777777" w:rsidR="00371C6F" w:rsidRPr="00476FD5" w:rsidRDefault="00371C6F">
      <w:pPr>
        <w:pStyle w:val="a0"/>
        <w:rPr>
          <w:sz w:val="24"/>
          <w:szCs w:val="24"/>
        </w:rPr>
      </w:pPr>
    </w:p>
    <w:p w14:paraId="291243BD" w14:textId="77777777" w:rsidR="00371C6F" w:rsidRPr="00476FD5" w:rsidRDefault="00371C6F">
      <w:pPr>
        <w:rPr>
          <w:sz w:val="24"/>
          <w:szCs w:val="24"/>
        </w:rPr>
      </w:pPr>
      <w:r w:rsidRPr="00476FD5">
        <w:rPr>
          <w:rFonts w:hint="eastAsia"/>
          <w:sz w:val="24"/>
          <w:szCs w:val="24"/>
        </w:rPr>
        <w:t xml:space="preserve">　　２　認定後の検査</w:t>
      </w:r>
    </w:p>
    <w:p w14:paraId="3CBD7F01" w14:textId="77777777" w:rsidR="00371C6F" w:rsidRPr="00476FD5" w:rsidRDefault="00371C6F">
      <w:pPr>
        <w:pStyle w:val="a0"/>
        <w:ind w:firstLine="210"/>
        <w:rPr>
          <w:sz w:val="24"/>
          <w:szCs w:val="24"/>
        </w:rPr>
      </w:pPr>
      <w:r w:rsidRPr="00476FD5">
        <w:rPr>
          <w:rFonts w:hint="eastAsia"/>
          <w:sz w:val="24"/>
          <w:szCs w:val="24"/>
        </w:rPr>
        <w:t>各認定施設のＨＡＣＣＰプランが適切に実施されていることを確認するために、検証を行うこと。検証の内容としては、次の事項を含むこと。</w:t>
      </w:r>
    </w:p>
    <w:p w14:paraId="4CBE1EEE" w14:textId="77777777" w:rsidR="00371C6F" w:rsidRPr="00476FD5" w:rsidRDefault="00371C6F" w:rsidP="002A6C5A">
      <w:pPr>
        <w:pStyle w:val="a0"/>
        <w:numPr>
          <w:ilvl w:val="0"/>
          <w:numId w:val="2"/>
        </w:numPr>
        <w:rPr>
          <w:rFonts w:ascii="Mincho"/>
          <w:sz w:val="24"/>
          <w:szCs w:val="24"/>
        </w:rPr>
      </w:pPr>
      <w:r w:rsidRPr="00476FD5">
        <w:rPr>
          <w:rFonts w:hint="eastAsia"/>
          <w:sz w:val="24"/>
          <w:szCs w:val="24"/>
        </w:rPr>
        <w:t>モニタリング、改善措置及び施設が実施した検証の記録並びに衛生管理モニタリングの実施記録を評価すること。</w:t>
      </w:r>
    </w:p>
    <w:p w14:paraId="34B57AEF" w14:textId="77777777" w:rsidR="00371C6F" w:rsidRPr="00476FD5" w:rsidRDefault="00371C6F" w:rsidP="002A6C5A">
      <w:pPr>
        <w:pStyle w:val="a0"/>
        <w:numPr>
          <w:ilvl w:val="0"/>
          <w:numId w:val="2"/>
        </w:numPr>
        <w:ind w:left="1270"/>
        <w:rPr>
          <w:rFonts w:ascii="Mincho"/>
          <w:sz w:val="24"/>
          <w:szCs w:val="24"/>
        </w:rPr>
      </w:pPr>
      <w:r w:rsidRPr="00476FD5">
        <w:rPr>
          <w:rFonts w:ascii="Mincho" w:hint="eastAsia"/>
          <w:sz w:val="24"/>
          <w:szCs w:val="24"/>
        </w:rPr>
        <w:t>最終製品、中間製品等の試験検査を行うこと。</w:t>
      </w:r>
    </w:p>
    <w:p w14:paraId="313A00EF" w14:textId="77777777" w:rsidR="00371C6F" w:rsidRPr="00476FD5" w:rsidRDefault="00371C6F" w:rsidP="002A6C5A">
      <w:pPr>
        <w:pStyle w:val="a0"/>
        <w:numPr>
          <w:ilvl w:val="0"/>
          <w:numId w:val="2"/>
        </w:numPr>
        <w:ind w:left="1270"/>
        <w:rPr>
          <w:rFonts w:ascii="Mincho"/>
          <w:sz w:val="24"/>
          <w:szCs w:val="24"/>
        </w:rPr>
      </w:pPr>
      <w:r w:rsidRPr="00476FD5">
        <w:rPr>
          <w:rFonts w:ascii="Mincho" w:hint="eastAsia"/>
          <w:sz w:val="24"/>
          <w:szCs w:val="24"/>
        </w:rPr>
        <w:t>ＨＡＣＣＰプランの重要管理点、管理基準、モニタリング方法の設定が適切か見直すこと。</w:t>
      </w:r>
    </w:p>
    <w:p w14:paraId="1942B010" w14:textId="77777777" w:rsidR="00371C6F" w:rsidRPr="00476FD5" w:rsidRDefault="00371C6F" w:rsidP="002A6C5A">
      <w:pPr>
        <w:pStyle w:val="a0"/>
        <w:numPr>
          <w:ilvl w:val="0"/>
          <w:numId w:val="2"/>
        </w:numPr>
        <w:ind w:left="1270"/>
        <w:rPr>
          <w:rFonts w:ascii="Mincho"/>
          <w:sz w:val="24"/>
          <w:szCs w:val="24"/>
        </w:rPr>
      </w:pPr>
      <w:r w:rsidRPr="00476FD5">
        <w:rPr>
          <w:rFonts w:ascii="Mincho" w:hint="eastAsia"/>
          <w:sz w:val="24"/>
          <w:szCs w:val="24"/>
        </w:rPr>
        <w:t>消費者からの苦情ファイルを評価すること。</w:t>
      </w:r>
    </w:p>
    <w:p w14:paraId="2E69041F" w14:textId="77777777" w:rsidR="00371C6F" w:rsidRPr="00476FD5" w:rsidRDefault="00371C6F" w:rsidP="002A6C5A">
      <w:pPr>
        <w:pStyle w:val="a0"/>
        <w:numPr>
          <w:ilvl w:val="0"/>
          <w:numId w:val="2"/>
        </w:numPr>
        <w:ind w:left="1270"/>
        <w:rPr>
          <w:rFonts w:ascii="Mincho"/>
          <w:sz w:val="24"/>
          <w:szCs w:val="24"/>
        </w:rPr>
      </w:pPr>
      <w:r w:rsidRPr="00476FD5">
        <w:rPr>
          <w:rFonts w:hint="eastAsia"/>
          <w:sz w:val="24"/>
          <w:szCs w:val="24"/>
        </w:rPr>
        <w:t>別添２</w:t>
      </w:r>
      <w:r w:rsidR="00476FD5">
        <w:rPr>
          <w:rFonts w:hint="eastAsia"/>
          <w:sz w:val="24"/>
          <w:szCs w:val="24"/>
        </w:rPr>
        <w:t>の</w:t>
      </w:r>
      <w:r w:rsidRPr="00476FD5">
        <w:rPr>
          <w:rFonts w:hint="eastAsia"/>
          <w:sz w:val="24"/>
          <w:szCs w:val="24"/>
        </w:rPr>
        <w:t>３</w:t>
      </w:r>
      <w:r w:rsidRPr="00476FD5">
        <w:rPr>
          <w:sz w:val="24"/>
          <w:szCs w:val="24"/>
        </w:rPr>
        <w:t>(</w:t>
      </w:r>
      <w:r w:rsidRPr="00476FD5">
        <w:rPr>
          <w:rFonts w:hint="eastAsia"/>
          <w:sz w:val="24"/>
          <w:szCs w:val="24"/>
        </w:rPr>
        <w:t>１</w:t>
      </w:r>
      <w:r w:rsidRPr="00476FD5">
        <w:rPr>
          <w:sz w:val="24"/>
          <w:szCs w:val="24"/>
        </w:rPr>
        <w:t>)</w:t>
      </w:r>
      <w:r w:rsidRPr="00476FD5">
        <w:rPr>
          <w:rFonts w:hint="eastAsia"/>
          <w:sz w:val="24"/>
          <w:szCs w:val="24"/>
        </w:rPr>
        <w:t>に規定されたＳＳＯＰ等</w:t>
      </w:r>
      <w:r w:rsidRPr="00476FD5">
        <w:rPr>
          <w:rFonts w:ascii="Mincho" w:hint="eastAsia"/>
          <w:sz w:val="24"/>
          <w:szCs w:val="24"/>
        </w:rPr>
        <w:t>の効果を確認すること。</w:t>
      </w:r>
    </w:p>
    <w:p w14:paraId="0DCFD67B" w14:textId="77777777" w:rsidR="00371C6F" w:rsidRPr="00476FD5" w:rsidRDefault="00371C6F">
      <w:pPr>
        <w:jc w:val="right"/>
        <w:rPr>
          <w:sz w:val="24"/>
          <w:szCs w:val="24"/>
        </w:rPr>
      </w:pPr>
    </w:p>
    <w:sectPr w:rsidR="00371C6F" w:rsidRPr="00476FD5">
      <w:footerReference w:type="even" r:id="rId7"/>
      <w:footerReference w:type="default" r:id="rId8"/>
      <w:pgSz w:w="11906" w:h="16838"/>
      <w:pgMar w:top="1196" w:right="1673" w:bottom="1197" w:left="1463" w:header="851" w:footer="254" w:gutter="0"/>
      <w:pgNumType w:start="5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E7AFC" w14:textId="77777777" w:rsidR="00452DFD" w:rsidRDefault="00452DFD">
      <w:r>
        <w:separator/>
      </w:r>
    </w:p>
  </w:endnote>
  <w:endnote w:type="continuationSeparator" w:id="0">
    <w:p w14:paraId="2AC1F3EA" w14:textId="77777777" w:rsidR="00452DFD" w:rsidRDefault="0045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08B14" w14:textId="77777777" w:rsidR="00371C6F" w:rsidRDefault="00371C6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83452B5" w14:textId="77777777" w:rsidR="00371C6F" w:rsidRDefault="00371C6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E0F1" w14:textId="77777777" w:rsidR="002A6C5A" w:rsidRDefault="002A6C5A">
    <w:pPr>
      <w:pStyle w:val="a4"/>
      <w:jc w:val="center"/>
      <w:rPr>
        <w:rStyle w:val="a5"/>
        <w:rFonts w:hint="eastAsia"/>
      </w:rPr>
    </w:pPr>
  </w:p>
  <w:p w14:paraId="68D27D87" w14:textId="77777777" w:rsidR="00371C6F" w:rsidRDefault="00371C6F" w:rsidP="002A6C5A">
    <w:pPr>
      <w:pStyle w:val="a4"/>
      <w:rPr>
        <w:rFonts w:ascii="Mincho"/>
      </w:rPr>
    </w:pPr>
    <w:r>
      <w:rPr>
        <w:rStyle w:val="a5"/>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89C0F" w14:textId="77777777" w:rsidR="00452DFD" w:rsidRDefault="00452DFD">
      <w:r>
        <w:separator/>
      </w:r>
    </w:p>
  </w:footnote>
  <w:footnote w:type="continuationSeparator" w:id="0">
    <w:p w14:paraId="0E2ABDD8" w14:textId="77777777" w:rsidR="00452DFD" w:rsidRDefault="00452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32149"/>
    <w:multiLevelType w:val="singleLevel"/>
    <w:tmpl w:val="41303DC4"/>
    <w:lvl w:ilvl="0">
      <w:start w:val="1"/>
      <w:numFmt w:val="aiueoFullWidth"/>
      <w:lvlText w:val="%1　"/>
      <w:legacy w:legacy="1" w:legacySpace="0" w:legacyIndent="450"/>
      <w:lvlJc w:val="left"/>
      <w:pPr>
        <w:ind w:left="1301" w:hanging="450"/>
      </w:pPr>
      <w:rPr>
        <w:b w:val="0"/>
        <w:i w:val="0"/>
        <w:sz w:val="21"/>
      </w:rPr>
    </w:lvl>
  </w:abstractNum>
  <w:abstractNum w:abstractNumId="1" w15:restartNumberingAfterBreak="0">
    <w:nsid w:val="7AA135F2"/>
    <w:multiLevelType w:val="singleLevel"/>
    <w:tmpl w:val="788860EE"/>
    <w:lvl w:ilvl="0">
      <w:start w:val="1"/>
      <w:numFmt w:val="aiueoFullWidth"/>
      <w:lvlText w:val="%1　"/>
      <w:legacy w:legacy="1" w:legacySpace="0" w:legacyIndent="420"/>
      <w:lvlJc w:val="left"/>
      <w:pPr>
        <w:ind w:left="1256" w:hanging="420"/>
      </w:pPr>
      <w:rPr>
        <w:b w:val="0"/>
        <w:i w:val="0"/>
        <w:sz w:val="21"/>
      </w:rPr>
    </w:lvl>
  </w:abstractNum>
  <w:num w:numId="1" w16cid:durableId="492650422">
    <w:abstractNumId w:val="0"/>
  </w:num>
  <w:num w:numId="2" w16cid:durableId="1954287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5"/>
  <w:doNotHyphenateCaps/>
  <w:drawingGridHorizontalSpacing w:val="209"/>
  <w:drawingGridVerticalSpacing w:val="171"/>
  <w:displayHorizontalDrawingGridEvery w:val="0"/>
  <w:displayVerticalDrawingGridEvery w:val="2"/>
  <w:characterSpacingControl w:val="compressPunctuation"/>
  <w:noLineBreaksAfter w:lang="ja-JP" w:val="$([\{‘“〈《「『【〔＄（［｛｢￡￥"/>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83.7 pt,0.4 pt"/>
    <w:docVar w:name="DocLay" w:val="YES"/>
    <w:docVar w:name="ValidCPLLPP" w:val="1"/>
    <w:docVar w:name="ViewGrid" w:val="0"/>
  </w:docVars>
  <w:rsids>
    <w:rsidRoot w:val="002A6C5A"/>
    <w:rsid w:val="00144B72"/>
    <w:rsid w:val="002A6C5A"/>
    <w:rsid w:val="00371C6F"/>
    <w:rsid w:val="003F0237"/>
    <w:rsid w:val="00452DFD"/>
    <w:rsid w:val="00453CD9"/>
    <w:rsid w:val="00476FD5"/>
    <w:rsid w:val="00477409"/>
    <w:rsid w:val="00536356"/>
    <w:rsid w:val="005C6451"/>
    <w:rsid w:val="00816D4A"/>
    <w:rsid w:val="008371F9"/>
    <w:rsid w:val="009312D9"/>
    <w:rsid w:val="009B7602"/>
    <w:rsid w:val="009C62C7"/>
    <w:rsid w:val="00AD6A0F"/>
    <w:rsid w:val="00D808B8"/>
    <w:rsid w:val="00FA696E"/>
    <w:rsid w:val="00FB3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188D9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paragraph" w:styleId="1">
    <w:name w:val="heading 1"/>
    <w:basedOn w:val="a"/>
    <w:next w:val="a"/>
    <w:qFormat/>
    <w:pPr>
      <w:keepNext/>
      <w:ind w:left="425" w:hanging="425"/>
      <w:outlineLvl w:val="0"/>
    </w:pPr>
    <w:rPr>
      <w:rFonts w:ascii="Arial" w:eastAsia="ｺﾞｼｯｸ" w:hAnsi="Arial"/>
      <w:kern w:val="24"/>
      <w:sz w:val="24"/>
    </w:rPr>
  </w:style>
  <w:style w:type="paragraph" w:styleId="2">
    <w:name w:val="heading 2"/>
    <w:basedOn w:val="a"/>
    <w:next w:val="a0"/>
    <w:qFormat/>
    <w:pPr>
      <w:keepNext/>
      <w:ind w:left="850" w:hanging="425"/>
      <w:outlineLvl w:val="1"/>
    </w:pPr>
    <w:rPr>
      <w:rFonts w:ascii="Arial" w:eastAsia="ｺﾞｼｯｸ" w:hAnsi="Arial"/>
    </w:rPr>
  </w:style>
  <w:style w:type="paragraph" w:styleId="3">
    <w:name w:val="heading 3"/>
    <w:basedOn w:val="a"/>
    <w:next w:val="a0"/>
    <w:qFormat/>
    <w:pPr>
      <w:keepNext/>
      <w:ind w:left="1275" w:hanging="425"/>
      <w:outlineLvl w:val="2"/>
    </w:pPr>
    <w:rPr>
      <w:rFonts w:ascii="Arial" w:eastAsia="ｺﾞｼｯｸ" w:hAnsi="Arial"/>
    </w:rPr>
  </w:style>
  <w:style w:type="paragraph" w:styleId="4">
    <w:name w:val="heading 4"/>
    <w:basedOn w:val="a"/>
    <w:next w:val="a0"/>
    <w:qFormat/>
    <w:pPr>
      <w:keepNext/>
      <w:ind w:left="1700" w:hanging="425"/>
      <w:outlineLvl w:val="3"/>
    </w:pPr>
    <w:rPr>
      <w:b/>
    </w:rPr>
  </w:style>
  <w:style w:type="paragraph" w:styleId="5">
    <w:name w:val="heading 5"/>
    <w:basedOn w:val="a"/>
    <w:next w:val="a0"/>
    <w:qFormat/>
    <w:pPr>
      <w:keepNext/>
      <w:ind w:left="2125" w:hanging="425"/>
      <w:outlineLvl w:val="4"/>
    </w:pPr>
    <w:rPr>
      <w:rFonts w:ascii="Arial" w:eastAsia="ｺﾞｼｯｸ" w:hAnsi="Arial"/>
    </w:rPr>
  </w:style>
  <w:style w:type="paragraph" w:styleId="6">
    <w:name w:val="heading 6"/>
    <w:basedOn w:val="a"/>
    <w:next w:val="a0"/>
    <w:qFormat/>
    <w:pPr>
      <w:keepNext/>
      <w:ind w:left="2550" w:hanging="425"/>
      <w:outlineLvl w:val="5"/>
    </w:pPr>
    <w:rPr>
      <w:b/>
    </w:rPr>
  </w:style>
  <w:style w:type="paragraph" w:styleId="7">
    <w:name w:val="heading 7"/>
    <w:basedOn w:val="a"/>
    <w:next w:val="a0"/>
    <w:qFormat/>
    <w:pPr>
      <w:keepNext/>
      <w:ind w:left="2975" w:hanging="425"/>
      <w:outlineLvl w:val="6"/>
    </w:pPr>
  </w:style>
  <w:style w:type="paragraph" w:styleId="8">
    <w:name w:val="heading 8"/>
    <w:basedOn w:val="a"/>
    <w:next w:val="a0"/>
    <w:qFormat/>
    <w:pPr>
      <w:keepNext/>
      <w:ind w:left="3400" w:hanging="425"/>
      <w:outlineLvl w:val="7"/>
    </w:pPr>
  </w:style>
  <w:style w:type="paragraph" w:styleId="9">
    <w:name w:val="heading 9"/>
    <w:basedOn w:val="a"/>
    <w:next w:val="a0"/>
    <w:qFormat/>
    <w:pPr>
      <w:keepNext/>
      <w:ind w:left="3825" w:hanging="425"/>
      <w:outlineLvl w:val="8"/>
    </w:p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0">
    <w:name w:val="Normal Indent"/>
    <w:basedOn w:val="a"/>
    <w:pPr>
      <w:ind w:left="851"/>
    </w:pPr>
  </w:style>
  <w:style w:type="paragraph" w:styleId="a4">
    <w:name w:val="footer"/>
    <w:basedOn w:val="a"/>
    <w:pPr>
      <w:tabs>
        <w:tab w:val="center" w:pos="4252"/>
        <w:tab w:val="right" w:pos="8504"/>
      </w:tabs>
    </w:pPr>
  </w:style>
  <w:style w:type="character" w:styleId="a5">
    <w:name w:val="page number"/>
    <w:rPr>
      <w:rFonts w:ascii="Mincho" w:eastAsia="Mincho" w:hAnsi="Mincho"/>
    </w:rPr>
  </w:style>
  <w:style w:type="paragraph" w:styleId="a6">
    <w:name w:val="header"/>
    <w:basedOn w:val="a"/>
    <w:pPr>
      <w:tabs>
        <w:tab w:val="center" w:pos="4252"/>
        <w:tab w:val="right" w:pos="8504"/>
      </w:tabs>
    </w:pPr>
  </w:style>
  <w:style w:type="paragraph" w:customStyle="1" w:styleId="NoteHeading">
    <w:name w:val="Note Heading"/>
    <w:basedOn w:val="a"/>
    <w:next w:val="a"/>
    <w:pPr>
      <w:jc w:val="center"/>
    </w:pPr>
  </w:style>
  <w:style w:type="paragraph" w:styleId="a7">
    <w:name w:val="Closing"/>
    <w:basedOn w:val="a"/>
    <w:next w:val="a"/>
    <w:pPr>
      <w:jc w:val="right"/>
    </w:pPr>
  </w:style>
  <w:style w:type="paragraph" w:styleId="a8">
    <w:name w:val="Balloon Text"/>
    <w:basedOn w:val="a"/>
    <w:link w:val="a9"/>
    <w:rsid w:val="005C6451"/>
    <w:rPr>
      <w:rFonts w:ascii="游ゴシック Light" w:eastAsia="游ゴシック Light" w:hAnsi="游ゴシック Light"/>
      <w:sz w:val="18"/>
      <w:szCs w:val="18"/>
    </w:rPr>
  </w:style>
  <w:style w:type="character" w:customStyle="1" w:styleId="a9">
    <w:name w:val="吹き出し (文字)"/>
    <w:link w:val="a8"/>
    <w:rsid w:val="005C6451"/>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2026-09-30T12:55:00Z</dcterms:created>
  <dcterms:modified xsi:type="dcterms:W3CDTF">2026-09-30T12:55:00Z</dcterms:modified>
</cp:coreProperties>
</file>