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3C16" w:rsidRDefault="00B63C16" w:rsidP="00B63C16">
      <w:pPr>
        <w:spacing w:line="60" w:lineRule="auto"/>
        <w:ind w:left="720" w:hangingChars="300" w:hanging="720"/>
        <w:rPr>
          <w:rFonts w:ascii="ＭＳ ゴシック" w:eastAsia="ＭＳ ゴシック" w:hAnsi="ＭＳ ゴシック" w:hint="default"/>
          <w:color w:val="auto"/>
          <w:szCs w:val="24"/>
        </w:rPr>
      </w:pPr>
      <w:r>
        <w:rPr>
          <w:rFonts w:ascii="ＭＳ ゴシック" w:eastAsia="ＭＳ ゴシック" w:hAnsi="ＭＳ ゴシック"/>
          <w:color w:val="auto"/>
          <w:szCs w:val="24"/>
        </w:rPr>
        <w:t>別添</w:t>
      </w:r>
      <w:r w:rsidR="003D5E4F">
        <w:rPr>
          <w:rFonts w:ascii="ＭＳ ゴシック" w:eastAsia="ＭＳ ゴシック" w:hAnsi="ＭＳ ゴシック"/>
          <w:color w:val="auto"/>
          <w:szCs w:val="24"/>
        </w:rPr>
        <w:t>12</w:t>
      </w:r>
      <w:r w:rsidR="006E7A45">
        <w:rPr>
          <w:rFonts w:ascii="ＭＳ ゴシック" w:eastAsia="ＭＳ ゴシック" w:hAnsi="ＭＳ ゴシック"/>
          <w:color w:val="auto"/>
          <w:szCs w:val="24"/>
        </w:rPr>
        <w:t>（</w:t>
      </w:r>
      <w:r w:rsidR="006E7A45">
        <w:rPr>
          <w:rFonts w:ascii="ＭＳ ゴシック" w:eastAsia="ＭＳ ゴシック" w:hAnsi="ＭＳ ゴシック" w:hint="default"/>
          <w:color w:val="auto"/>
          <w:szCs w:val="24"/>
        </w:rPr>
        <w:t>Ⅱの第</w:t>
      </w:r>
      <w:r w:rsidR="001B5401">
        <w:rPr>
          <w:rFonts w:ascii="ＭＳ ゴシック" w:eastAsia="ＭＳ ゴシック" w:hAnsi="ＭＳ ゴシック"/>
          <w:color w:val="auto"/>
          <w:szCs w:val="24"/>
        </w:rPr>
        <w:t>４</w:t>
      </w:r>
      <w:r w:rsidR="006E7A45">
        <w:rPr>
          <w:rFonts w:ascii="ＭＳ ゴシック" w:eastAsia="ＭＳ ゴシック" w:hAnsi="ＭＳ ゴシック" w:hint="default"/>
          <w:color w:val="auto"/>
          <w:szCs w:val="24"/>
        </w:rPr>
        <w:t>の１の（１）</w:t>
      </w:r>
      <w:r w:rsidR="006E7A45">
        <w:rPr>
          <w:rFonts w:ascii="ＭＳ ゴシック" w:eastAsia="ＭＳ ゴシック" w:hAnsi="ＭＳ ゴシック"/>
          <w:color w:val="auto"/>
          <w:szCs w:val="24"/>
        </w:rPr>
        <w:t>の</w:t>
      </w:r>
      <w:r w:rsidR="006E7A45">
        <w:rPr>
          <w:rFonts w:ascii="ＭＳ ゴシック" w:eastAsia="ＭＳ ゴシック" w:hAnsi="ＭＳ ゴシック" w:hint="default"/>
          <w:color w:val="auto"/>
          <w:szCs w:val="24"/>
        </w:rPr>
        <w:t>ア関係）</w:t>
      </w:r>
    </w:p>
    <w:p w:rsidR="00B63C16" w:rsidRPr="006E7A45" w:rsidRDefault="00B63C16" w:rsidP="00B63C16">
      <w:pPr>
        <w:spacing w:line="60" w:lineRule="auto"/>
        <w:ind w:left="720" w:hangingChars="300" w:hanging="720"/>
        <w:rPr>
          <w:rFonts w:ascii="ＭＳ ゴシック" w:eastAsia="ＭＳ ゴシック" w:hAnsi="ＭＳ ゴシック" w:hint="default"/>
          <w:color w:val="auto"/>
          <w:szCs w:val="24"/>
        </w:rPr>
      </w:pPr>
    </w:p>
    <w:p w:rsidR="00B63C16" w:rsidRDefault="00B63C16" w:rsidP="00B63C16">
      <w:pPr>
        <w:spacing w:line="60" w:lineRule="auto"/>
        <w:ind w:left="720" w:hangingChars="300" w:hanging="720"/>
        <w:jc w:val="center"/>
        <w:rPr>
          <w:rFonts w:ascii="ＭＳ ゴシック" w:eastAsia="ＭＳ ゴシック" w:hAnsi="ＭＳ ゴシック" w:hint="default"/>
          <w:color w:val="auto"/>
          <w:szCs w:val="24"/>
        </w:rPr>
      </w:pPr>
      <w:bookmarkStart w:id="0" w:name="_GoBack"/>
      <w:bookmarkEnd w:id="0"/>
      <w:r>
        <w:rPr>
          <w:rFonts w:ascii="ＭＳ ゴシック" w:eastAsia="ＭＳ ゴシック" w:hAnsi="ＭＳ ゴシック"/>
          <w:color w:val="auto"/>
          <w:szCs w:val="24"/>
        </w:rPr>
        <w:t>産地計画に</w:t>
      </w:r>
      <w:r>
        <w:rPr>
          <w:rFonts w:ascii="ＭＳ ゴシック" w:eastAsia="ＭＳ ゴシック" w:hAnsi="ＭＳ ゴシック" w:hint="default"/>
          <w:color w:val="auto"/>
          <w:szCs w:val="24"/>
        </w:rPr>
        <w:t>係る採択基準</w:t>
      </w:r>
    </w:p>
    <w:p w:rsidR="00B63C16" w:rsidRDefault="00B63C16" w:rsidP="00B63C16">
      <w:pPr>
        <w:spacing w:line="60" w:lineRule="auto"/>
        <w:ind w:left="720" w:hangingChars="300" w:hanging="720"/>
        <w:jc w:val="left"/>
        <w:rPr>
          <w:rFonts w:ascii="ＭＳ ゴシック" w:eastAsia="ＭＳ ゴシック" w:hAnsi="ＭＳ ゴシック" w:hint="default"/>
          <w:color w:val="auto"/>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2"/>
        <w:gridCol w:w="3201"/>
        <w:gridCol w:w="2225"/>
      </w:tblGrid>
      <w:tr w:rsidR="00B63C16" w:rsidRPr="00AB6EA0" w:rsidTr="001B5401">
        <w:tc>
          <w:tcPr>
            <w:tcW w:w="3612" w:type="dxa"/>
            <w:shd w:val="clear" w:color="auto" w:fill="auto"/>
          </w:tcPr>
          <w:p w:rsidR="00B63C16" w:rsidRPr="00AB6EA0" w:rsidRDefault="00B63C16" w:rsidP="0008651A">
            <w:pPr>
              <w:spacing w:line="60" w:lineRule="auto"/>
              <w:jc w:val="center"/>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区　分</w:t>
            </w:r>
          </w:p>
        </w:tc>
        <w:tc>
          <w:tcPr>
            <w:tcW w:w="3201" w:type="dxa"/>
            <w:shd w:val="clear" w:color="auto" w:fill="auto"/>
          </w:tcPr>
          <w:p w:rsidR="00B63C16" w:rsidRPr="00AB6EA0" w:rsidRDefault="00B63C16" w:rsidP="0008651A">
            <w:pPr>
              <w:spacing w:line="60" w:lineRule="auto"/>
              <w:jc w:val="center"/>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指　標</w:t>
            </w:r>
          </w:p>
        </w:tc>
        <w:tc>
          <w:tcPr>
            <w:tcW w:w="2225" w:type="dxa"/>
            <w:shd w:val="clear" w:color="auto" w:fill="auto"/>
          </w:tcPr>
          <w:p w:rsidR="00B63C16" w:rsidRPr="00AB6EA0" w:rsidRDefault="00B63C16" w:rsidP="0008651A">
            <w:pPr>
              <w:spacing w:line="60" w:lineRule="auto"/>
              <w:jc w:val="center"/>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備　考</w:t>
            </w:r>
          </w:p>
        </w:tc>
      </w:tr>
      <w:tr w:rsidR="00B63C16" w:rsidRPr="00AB6EA0" w:rsidTr="001B5401">
        <w:trPr>
          <w:trHeight w:val="1100"/>
        </w:trPr>
        <w:tc>
          <w:tcPr>
            <w:tcW w:w="3612" w:type="dxa"/>
            <w:shd w:val="clear" w:color="auto" w:fill="auto"/>
          </w:tcPr>
          <w:p w:rsidR="00B63C16" w:rsidRPr="00AB6EA0" w:rsidRDefault="00B63C16" w:rsidP="00B63C16">
            <w:pPr>
              <w:numPr>
                <w:ilvl w:val="0"/>
                <w:numId w:val="2"/>
              </w:num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成果目標の</w:t>
            </w:r>
            <w:r w:rsidRPr="00AB6EA0">
              <w:rPr>
                <w:rFonts w:ascii="ＭＳ ゴシック" w:eastAsia="ＭＳ ゴシック" w:hAnsi="ＭＳ ゴシック"/>
                <w:color w:val="auto"/>
                <w:sz w:val="20"/>
              </w:rPr>
              <w:t>産地規模</w:t>
            </w:r>
          </w:p>
          <w:p w:rsidR="00B63C16" w:rsidRPr="00AB6EA0" w:rsidRDefault="00B63C16" w:rsidP="0008651A">
            <w:pPr>
              <w:spacing w:line="60" w:lineRule="auto"/>
              <w:ind w:leftChars="73" w:left="175"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当該水田</w:t>
            </w:r>
            <w:r w:rsidRPr="00AB6EA0">
              <w:rPr>
                <w:rFonts w:ascii="ＭＳ ゴシック" w:eastAsia="ＭＳ ゴシック" w:hAnsi="ＭＳ ゴシック"/>
                <w:color w:val="auto"/>
                <w:sz w:val="20"/>
              </w:rPr>
              <w:t>地帯に</w:t>
            </w:r>
            <w:r w:rsidRPr="00AB6EA0">
              <w:rPr>
                <w:rFonts w:ascii="ＭＳ ゴシック" w:eastAsia="ＭＳ ゴシック" w:hAnsi="ＭＳ ゴシック" w:hint="default"/>
                <w:color w:val="auto"/>
                <w:sz w:val="20"/>
              </w:rPr>
              <w:t>おいて、水稲から</w:t>
            </w:r>
            <w:r w:rsidRPr="00AB6EA0">
              <w:rPr>
                <w:rFonts w:ascii="ＭＳ ゴシック" w:eastAsia="ＭＳ ゴシック" w:hAnsi="ＭＳ ゴシック"/>
                <w:color w:val="auto"/>
                <w:sz w:val="20"/>
              </w:rPr>
              <w:t>新たに</w:t>
            </w:r>
            <w:r w:rsidRPr="00AB6EA0">
              <w:rPr>
                <w:rFonts w:ascii="ＭＳ ゴシック" w:eastAsia="ＭＳ ゴシック" w:hAnsi="ＭＳ ゴシック" w:hint="default"/>
                <w:color w:val="auto"/>
                <w:sz w:val="20"/>
              </w:rPr>
              <w:t>園芸作物に</w:t>
            </w:r>
            <w:r>
              <w:rPr>
                <w:rFonts w:ascii="ＭＳ ゴシック" w:eastAsia="ＭＳ ゴシック" w:hAnsi="ＭＳ ゴシック"/>
                <w:color w:val="auto"/>
                <w:sz w:val="20"/>
              </w:rPr>
              <w:t>作付</w:t>
            </w:r>
            <w:r w:rsidRPr="00AB6EA0">
              <w:rPr>
                <w:rFonts w:ascii="ＭＳ ゴシック" w:eastAsia="ＭＳ ゴシック" w:hAnsi="ＭＳ ゴシック" w:hint="default"/>
                <w:color w:val="auto"/>
                <w:sz w:val="20"/>
              </w:rPr>
              <w:t>転換する面積規模で評価を行うものとする。</w:t>
            </w:r>
          </w:p>
        </w:tc>
        <w:tc>
          <w:tcPr>
            <w:tcW w:w="3201" w:type="dxa"/>
            <w:shd w:val="clear" w:color="auto" w:fill="auto"/>
          </w:tcPr>
          <w:p w:rsidR="00B63C16" w:rsidRPr="00AB6EA0" w:rsidRDefault="00B63C16" w:rsidP="00B63C16">
            <w:pPr>
              <w:numPr>
                <w:ilvl w:val="0"/>
                <w:numId w:val="1"/>
              </w:num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露地野菜又は果樹の合計面積</w:t>
            </w:r>
          </w:p>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w:t>
            </w:r>
            <w:r w:rsidRPr="00AB6EA0">
              <w:rPr>
                <w:rFonts w:ascii="ＭＳ ゴシック" w:eastAsia="ＭＳ ゴシック" w:hAnsi="ＭＳ ゴシック"/>
                <w:color w:val="auto"/>
                <w:sz w:val="20"/>
              </w:rPr>
              <w:t>２ha未満・・・</w:t>
            </w:r>
            <w:r w:rsidRPr="00AB6EA0">
              <w:rPr>
                <w:rFonts w:ascii="ＭＳ ゴシック" w:eastAsia="ＭＳ ゴシック" w:hAnsi="ＭＳ ゴシック" w:hint="default"/>
                <w:color w:val="auto"/>
                <w:sz w:val="20"/>
              </w:rPr>
              <w:t>１ポイント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２ha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２ポイント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５</w:t>
            </w:r>
            <w:r w:rsidRPr="00AB6EA0">
              <w:rPr>
                <w:rFonts w:ascii="ＭＳ ゴシック" w:eastAsia="ＭＳ ゴシック" w:hAnsi="ＭＳ ゴシック"/>
                <w:color w:val="auto"/>
                <w:sz w:val="20"/>
              </w:rPr>
              <w:t>ha以上・・・</w:t>
            </w:r>
            <w:r w:rsidRPr="00AB6EA0">
              <w:rPr>
                <w:rFonts w:ascii="ＭＳ ゴシック" w:eastAsia="ＭＳ ゴシック" w:hAnsi="ＭＳ ゴシック" w:hint="default"/>
                <w:color w:val="auto"/>
                <w:sz w:val="20"/>
              </w:rPr>
              <w:t>３ポイント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10ha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５ポイント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15ha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７ポイント</w:t>
            </w:r>
          </w:p>
          <w:p w:rsidR="00B63C16"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・20</w:t>
            </w:r>
            <w:r w:rsidRPr="00AB6EA0">
              <w:rPr>
                <w:rFonts w:ascii="ＭＳ ゴシック" w:eastAsia="ＭＳ ゴシック" w:hAnsi="ＭＳ ゴシック" w:hint="default"/>
                <w:color w:val="auto"/>
                <w:sz w:val="20"/>
              </w:rPr>
              <w:t>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10ポイント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p>
          <w:p w:rsidR="00B63C16" w:rsidRPr="00AB6EA0" w:rsidRDefault="00B63C16" w:rsidP="00B63C16">
            <w:pPr>
              <w:numPr>
                <w:ilvl w:val="0"/>
                <w:numId w:val="1"/>
              </w:num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施設野菜又は花きの合計面積</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・１ha</w:t>
            </w:r>
            <w:r w:rsidRPr="00AB6EA0">
              <w:rPr>
                <w:rFonts w:ascii="ＭＳ ゴシック" w:eastAsia="ＭＳ ゴシック" w:hAnsi="ＭＳ ゴシック"/>
                <w:color w:val="auto"/>
                <w:sz w:val="20"/>
              </w:rPr>
              <w:t>未満・・・</w:t>
            </w:r>
            <w:r w:rsidRPr="00AB6EA0">
              <w:rPr>
                <w:rFonts w:ascii="ＭＳ ゴシック" w:eastAsia="ＭＳ ゴシック" w:hAnsi="ＭＳ ゴシック" w:hint="default"/>
                <w:color w:val="auto"/>
                <w:sz w:val="20"/>
              </w:rPr>
              <w:t>１ポイント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・１ha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２ポイント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・２ha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３ポイント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・４</w:t>
            </w:r>
            <w:r w:rsidRPr="00AB6EA0">
              <w:rPr>
                <w:rFonts w:ascii="ＭＳ ゴシック" w:eastAsia="ＭＳ ゴシック" w:hAnsi="ＭＳ ゴシック" w:hint="default"/>
                <w:color w:val="auto"/>
                <w:sz w:val="20"/>
              </w:rPr>
              <w:t>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５ポイント</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・６ha</w:t>
            </w:r>
            <w:r w:rsidRPr="00AB6EA0">
              <w:rPr>
                <w:rFonts w:ascii="ＭＳ ゴシック" w:eastAsia="ＭＳ ゴシック" w:hAnsi="ＭＳ ゴシック"/>
                <w:color w:val="auto"/>
                <w:sz w:val="20"/>
              </w:rPr>
              <w:t>以上・・・</w:t>
            </w:r>
            <w:r w:rsidRPr="00AB6EA0">
              <w:rPr>
                <w:rFonts w:ascii="ＭＳ ゴシック" w:eastAsia="ＭＳ ゴシック" w:hAnsi="ＭＳ ゴシック" w:hint="default"/>
                <w:color w:val="auto"/>
                <w:sz w:val="20"/>
              </w:rPr>
              <w:t>７ポイント</w:t>
            </w:r>
          </w:p>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・８</w:t>
            </w:r>
            <w:r w:rsidRPr="00AB6EA0">
              <w:rPr>
                <w:rFonts w:ascii="ＭＳ ゴシック" w:eastAsia="ＭＳ ゴシック" w:hAnsi="ＭＳ ゴシック"/>
                <w:color w:val="auto"/>
                <w:sz w:val="20"/>
              </w:rPr>
              <w:t>ha以上・・・</w:t>
            </w:r>
            <w:r w:rsidRPr="00AB6EA0">
              <w:rPr>
                <w:rFonts w:ascii="ＭＳ ゴシック" w:eastAsia="ＭＳ ゴシック" w:hAnsi="ＭＳ ゴシック" w:hint="default"/>
                <w:color w:val="auto"/>
                <w:sz w:val="20"/>
              </w:rPr>
              <w:t>10ポイント</w:t>
            </w:r>
          </w:p>
        </w:tc>
        <w:tc>
          <w:tcPr>
            <w:tcW w:w="2225"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左記</w:t>
            </w:r>
            <w:r w:rsidRPr="00AB6EA0">
              <w:rPr>
                <w:rFonts w:ascii="ＭＳ ゴシック" w:eastAsia="ＭＳ ゴシック" w:hAnsi="ＭＳ ゴシック"/>
                <w:color w:val="auto"/>
                <w:sz w:val="20"/>
              </w:rPr>
              <w:t>①</w:t>
            </w:r>
            <w:r w:rsidRPr="00AB6EA0">
              <w:rPr>
                <w:rFonts w:ascii="ＭＳ ゴシック" w:eastAsia="ＭＳ ゴシック" w:hAnsi="ＭＳ ゴシック" w:hint="default"/>
                <w:color w:val="auto"/>
                <w:sz w:val="20"/>
              </w:rPr>
              <w:t>及び②の双方のポイントが付与される場合は、それらを合計することとする。</w:t>
            </w:r>
          </w:p>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ただし、最大ポイントは</w:t>
            </w:r>
            <w:r w:rsidRPr="00AB6EA0">
              <w:rPr>
                <w:rFonts w:ascii="ＭＳ ゴシック" w:eastAsia="ＭＳ ゴシック" w:hAnsi="ＭＳ ゴシック"/>
                <w:color w:val="auto"/>
                <w:sz w:val="20"/>
              </w:rPr>
              <w:t>10</w:t>
            </w:r>
            <w:r w:rsidRPr="00AB6EA0">
              <w:rPr>
                <w:rFonts w:ascii="ＭＳ ゴシック" w:eastAsia="ＭＳ ゴシック" w:hAnsi="ＭＳ ゴシック" w:hint="default"/>
                <w:color w:val="auto"/>
                <w:sz w:val="20"/>
              </w:rPr>
              <w:t>ポイントとする。</w:t>
            </w:r>
          </w:p>
        </w:tc>
      </w:tr>
      <w:tr w:rsidR="00B63C16" w:rsidRPr="00AB6EA0" w:rsidTr="001B5401">
        <w:tc>
          <w:tcPr>
            <w:tcW w:w="3612"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２．契約</w:t>
            </w:r>
            <w:r w:rsidRPr="00AB6EA0">
              <w:rPr>
                <w:rFonts w:ascii="ＭＳ ゴシック" w:eastAsia="ＭＳ ゴシック" w:hAnsi="ＭＳ ゴシック" w:hint="default"/>
                <w:color w:val="auto"/>
                <w:sz w:val="20"/>
              </w:rPr>
              <w:t>取引の割合</w:t>
            </w:r>
          </w:p>
          <w:p w:rsidR="00B63C16" w:rsidRPr="00AB6EA0" w:rsidRDefault="00B63C16" w:rsidP="0008651A">
            <w:pPr>
              <w:spacing w:line="60" w:lineRule="auto"/>
              <w:ind w:leftChars="100" w:left="240"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当該目標</w:t>
            </w:r>
            <w:r w:rsidRPr="00AB6EA0">
              <w:rPr>
                <w:rFonts w:ascii="ＭＳ ゴシック" w:eastAsia="ＭＳ ゴシック" w:hAnsi="ＭＳ ゴシック" w:hint="default"/>
                <w:color w:val="auto"/>
                <w:sz w:val="20"/>
              </w:rPr>
              <w:t>で設定する面積の50％以上が、実需者との</w:t>
            </w:r>
            <w:r w:rsidRPr="00AB6EA0">
              <w:rPr>
                <w:rFonts w:ascii="ＭＳ ゴシック" w:eastAsia="ＭＳ ゴシック" w:hAnsi="ＭＳ ゴシック"/>
                <w:color w:val="auto"/>
                <w:sz w:val="20"/>
              </w:rPr>
              <w:t>契約</w:t>
            </w:r>
            <w:r w:rsidRPr="00AB6EA0">
              <w:rPr>
                <w:rFonts w:ascii="ＭＳ ゴシック" w:eastAsia="ＭＳ ゴシック" w:hAnsi="ＭＳ ゴシック" w:hint="default"/>
                <w:color w:val="auto"/>
                <w:sz w:val="20"/>
              </w:rPr>
              <w:t>取引に基づく生産を</w:t>
            </w:r>
            <w:r w:rsidRPr="00AB6EA0">
              <w:rPr>
                <w:rFonts w:ascii="ＭＳ ゴシック" w:eastAsia="ＭＳ ゴシック" w:hAnsi="ＭＳ ゴシック"/>
                <w:color w:val="auto"/>
                <w:sz w:val="20"/>
              </w:rPr>
              <w:t>行う</w:t>
            </w:r>
            <w:r w:rsidRPr="00AB6EA0">
              <w:rPr>
                <w:rFonts w:ascii="ＭＳ ゴシック" w:eastAsia="ＭＳ ゴシック" w:hAnsi="ＭＳ ゴシック" w:hint="default"/>
                <w:color w:val="auto"/>
                <w:sz w:val="20"/>
              </w:rPr>
              <w:t>ものとする。</w:t>
            </w:r>
          </w:p>
        </w:tc>
        <w:tc>
          <w:tcPr>
            <w:tcW w:w="3201"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・50％以上・・・５ポイント</w:t>
            </w:r>
          </w:p>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・55％以上・・・６ポイント</w:t>
            </w:r>
          </w:p>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・60％以上・・・７ポイント</w:t>
            </w:r>
          </w:p>
        </w:tc>
        <w:tc>
          <w:tcPr>
            <w:tcW w:w="2225"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生産者が実需者を兼ねる場合は、その他の実需者との</w:t>
            </w:r>
            <w:r w:rsidRPr="00AB6EA0">
              <w:rPr>
                <w:rFonts w:ascii="ＭＳ ゴシック" w:eastAsia="ＭＳ ゴシック" w:hAnsi="ＭＳ ゴシック"/>
                <w:color w:val="auto"/>
                <w:sz w:val="20"/>
              </w:rPr>
              <w:t>契約割合</w:t>
            </w:r>
            <w:r w:rsidRPr="00AB6EA0">
              <w:rPr>
                <w:rFonts w:ascii="ＭＳ ゴシック" w:eastAsia="ＭＳ ゴシック" w:hAnsi="ＭＳ ゴシック" w:hint="default"/>
                <w:color w:val="auto"/>
                <w:sz w:val="20"/>
              </w:rPr>
              <w:t>が50％以上であること。</w:t>
            </w:r>
          </w:p>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複数の品目で取り組む場合は、合計</w:t>
            </w:r>
            <w:r w:rsidRPr="00AB6EA0">
              <w:rPr>
                <w:rFonts w:ascii="ＭＳ ゴシック" w:eastAsia="ＭＳ ゴシック" w:hAnsi="ＭＳ ゴシック"/>
                <w:color w:val="auto"/>
                <w:sz w:val="20"/>
              </w:rPr>
              <w:t>面積</w:t>
            </w:r>
            <w:r w:rsidRPr="00AB6EA0">
              <w:rPr>
                <w:rFonts w:ascii="ＭＳ ゴシック" w:eastAsia="ＭＳ ゴシック" w:hAnsi="ＭＳ ゴシック" w:hint="default"/>
                <w:color w:val="auto"/>
                <w:sz w:val="20"/>
              </w:rPr>
              <w:t>の</w:t>
            </w:r>
            <w:r w:rsidRPr="00AB6EA0">
              <w:rPr>
                <w:rFonts w:ascii="ＭＳ ゴシック" w:eastAsia="ＭＳ ゴシック" w:hAnsi="ＭＳ ゴシック"/>
                <w:color w:val="auto"/>
                <w:sz w:val="20"/>
              </w:rPr>
              <w:t>契約</w:t>
            </w:r>
            <w:r w:rsidRPr="00AB6EA0">
              <w:rPr>
                <w:rFonts w:ascii="ＭＳ ゴシック" w:eastAsia="ＭＳ ゴシック" w:hAnsi="ＭＳ ゴシック" w:hint="default"/>
                <w:color w:val="auto"/>
                <w:sz w:val="20"/>
              </w:rPr>
              <w:t>割合が50</w:t>
            </w:r>
            <w:r w:rsidRPr="00AB6EA0">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以上であること</w:t>
            </w:r>
            <w:r>
              <w:rPr>
                <w:rFonts w:ascii="ＭＳ ゴシック" w:eastAsia="ＭＳ ゴシック" w:hAnsi="ＭＳ ゴシック"/>
                <w:color w:val="auto"/>
                <w:sz w:val="20"/>
              </w:rPr>
              <w:t>。</w:t>
            </w:r>
          </w:p>
        </w:tc>
      </w:tr>
      <w:tr w:rsidR="00B63C16" w:rsidRPr="00AB6EA0" w:rsidTr="001B5401">
        <w:tc>
          <w:tcPr>
            <w:tcW w:w="3612"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３．取</w:t>
            </w:r>
            <w:r>
              <w:rPr>
                <w:rFonts w:ascii="ＭＳ ゴシック" w:eastAsia="ＭＳ ゴシック" w:hAnsi="ＭＳ ゴシック"/>
                <w:color w:val="auto"/>
                <w:sz w:val="20"/>
              </w:rPr>
              <w:t>組効果</w:t>
            </w:r>
            <w:r w:rsidRPr="00AB6EA0">
              <w:rPr>
                <w:rFonts w:ascii="ＭＳ ゴシック" w:eastAsia="ＭＳ ゴシック" w:hAnsi="ＭＳ ゴシック" w:hint="default"/>
                <w:color w:val="auto"/>
                <w:sz w:val="20"/>
              </w:rPr>
              <w:t>加算</w:t>
            </w:r>
          </w:p>
          <w:p w:rsidR="00B63C16" w:rsidRPr="00AB6EA0" w:rsidRDefault="00B63C16" w:rsidP="0008651A">
            <w:pPr>
              <w:spacing w:line="60" w:lineRule="auto"/>
              <w:ind w:leftChars="100" w:left="240"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平成</w:t>
            </w:r>
            <w:r w:rsidRPr="00AB6EA0">
              <w:rPr>
                <w:rFonts w:ascii="ＭＳ ゴシック" w:eastAsia="ＭＳ ゴシック" w:hAnsi="ＭＳ ゴシック" w:hint="default"/>
                <w:color w:val="auto"/>
                <w:sz w:val="20"/>
              </w:rPr>
              <w:t>30年度園芸作物</w:t>
            </w:r>
            <w:r>
              <w:rPr>
                <w:rFonts w:ascii="ＭＳ ゴシック" w:eastAsia="ＭＳ ゴシック" w:hAnsi="ＭＳ ゴシック"/>
                <w:color w:val="auto"/>
                <w:sz w:val="20"/>
              </w:rPr>
              <w:t>生産</w:t>
            </w:r>
            <w:r w:rsidRPr="00AB6EA0">
              <w:rPr>
                <w:rFonts w:ascii="ＭＳ ゴシック" w:eastAsia="ＭＳ ゴシック" w:hAnsi="ＭＳ ゴシック" w:hint="default"/>
                <w:color w:val="auto"/>
                <w:sz w:val="20"/>
              </w:rPr>
              <w:t>転換促進事業の取組主体が</w:t>
            </w:r>
            <w:r>
              <w:rPr>
                <w:rFonts w:ascii="ＭＳ ゴシック" w:eastAsia="ＭＳ ゴシック" w:hAnsi="ＭＳ ゴシック"/>
                <w:color w:val="auto"/>
                <w:sz w:val="20"/>
              </w:rPr>
              <w:t>、</w:t>
            </w:r>
            <w:r w:rsidRPr="00AB6EA0">
              <w:rPr>
                <w:rFonts w:ascii="ＭＳ ゴシック" w:eastAsia="ＭＳ ゴシック" w:hAnsi="ＭＳ ゴシック" w:hint="default"/>
                <w:color w:val="auto"/>
                <w:sz w:val="20"/>
              </w:rPr>
              <w:t>本事業において当該取組を継続的に実施する場合は加算できるものとする。</w:t>
            </w:r>
          </w:p>
        </w:tc>
        <w:tc>
          <w:tcPr>
            <w:tcW w:w="3201"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３ポイント</w:t>
            </w:r>
          </w:p>
        </w:tc>
        <w:tc>
          <w:tcPr>
            <w:tcW w:w="2225"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p>
        </w:tc>
      </w:tr>
      <w:tr w:rsidR="00B63C16" w:rsidRPr="00AB6EA0" w:rsidTr="001B5401">
        <w:tc>
          <w:tcPr>
            <w:tcW w:w="3612"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４．都道府県</w:t>
            </w:r>
            <w:r w:rsidRPr="00AB6EA0">
              <w:rPr>
                <w:rFonts w:ascii="ＭＳ ゴシック" w:eastAsia="ＭＳ ゴシック" w:hAnsi="ＭＳ ゴシック" w:hint="default"/>
                <w:color w:val="auto"/>
                <w:sz w:val="20"/>
              </w:rPr>
              <w:t>加算</w:t>
            </w:r>
          </w:p>
          <w:p w:rsidR="00B63C16" w:rsidRPr="00AB6EA0" w:rsidRDefault="00B63C16" w:rsidP="0008651A">
            <w:pPr>
              <w:spacing w:line="60" w:lineRule="auto"/>
              <w:ind w:leftChars="100" w:left="240"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取組主体</w:t>
            </w:r>
            <w:r w:rsidRPr="00AB6EA0">
              <w:rPr>
                <w:rFonts w:ascii="ＭＳ ゴシック" w:eastAsia="ＭＳ ゴシック" w:hAnsi="ＭＳ ゴシック" w:hint="default"/>
                <w:color w:val="auto"/>
                <w:sz w:val="20"/>
              </w:rPr>
              <w:t>が策定する産地計画のうち、都道府県が特に重要性が高く優先的に実施する必要があると判断した産地計画について加算できるものとする。</w:t>
            </w:r>
          </w:p>
        </w:tc>
        <w:tc>
          <w:tcPr>
            <w:tcW w:w="3201"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９ポイント</w:t>
            </w:r>
          </w:p>
        </w:tc>
        <w:tc>
          <w:tcPr>
            <w:tcW w:w="2225" w:type="dxa"/>
            <w:shd w:val="clear" w:color="auto" w:fill="auto"/>
          </w:tcPr>
          <w:p w:rsidR="00B63C16"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一</w:t>
            </w:r>
            <w:r w:rsidRPr="00AB6EA0">
              <w:rPr>
                <w:rFonts w:ascii="ＭＳ ゴシック" w:eastAsia="ＭＳ ゴシック" w:hAnsi="ＭＳ ゴシック" w:hint="default"/>
                <w:color w:val="auto"/>
                <w:sz w:val="20"/>
              </w:rPr>
              <w:t>の又は複数の産地計画に加算できるものとする。</w:t>
            </w:r>
          </w:p>
          <w:p w:rsidR="00B63C16" w:rsidRPr="00AB6EA0" w:rsidRDefault="00B63C16" w:rsidP="0008651A">
            <w:pPr>
              <w:spacing w:line="60" w:lineRule="auto"/>
              <w:ind w:firstLineChars="100" w:firstLine="200"/>
              <w:jc w:val="left"/>
              <w:rPr>
                <w:rFonts w:ascii="ＭＳ ゴシック" w:eastAsia="ＭＳ ゴシック" w:hAnsi="ＭＳ ゴシック" w:hint="default"/>
                <w:color w:val="auto"/>
                <w:sz w:val="20"/>
              </w:rPr>
            </w:pPr>
            <w:r w:rsidRPr="00AB6EA0">
              <w:rPr>
                <w:rFonts w:ascii="ＭＳ ゴシック" w:eastAsia="ＭＳ ゴシック" w:hAnsi="ＭＳ ゴシック" w:hint="default"/>
                <w:color w:val="auto"/>
                <w:sz w:val="20"/>
              </w:rPr>
              <w:t>ただし</w:t>
            </w:r>
            <w:r>
              <w:rPr>
                <w:rFonts w:ascii="ＭＳ ゴシック" w:eastAsia="ＭＳ ゴシック" w:hAnsi="ＭＳ ゴシック"/>
                <w:color w:val="auto"/>
                <w:sz w:val="20"/>
              </w:rPr>
              <w:t>、</w:t>
            </w:r>
            <w:r w:rsidRPr="00AB6EA0">
              <w:rPr>
                <w:rFonts w:ascii="ＭＳ ゴシック" w:eastAsia="ＭＳ ゴシック" w:hAnsi="ＭＳ ゴシック"/>
                <w:color w:val="auto"/>
                <w:sz w:val="20"/>
              </w:rPr>
              <w:t>一</w:t>
            </w:r>
            <w:r w:rsidRPr="00AB6EA0">
              <w:rPr>
                <w:rFonts w:ascii="ＭＳ ゴシック" w:eastAsia="ＭＳ ゴシック" w:hAnsi="ＭＳ ゴシック" w:hint="default"/>
                <w:color w:val="auto"/>
                <w:sz w:val="20"/>
              </w:rPr>
              <w:t>地区当たり</w:t>
            </w:r>
            <w:r w:rsidRPr="00AB6EA0">
              <w:rPr>
                <w:rFonts w:ascii="ＭＳ ゴシック" w:eastAsia="ＭＳ ゴシック" w:hAnsi="ＭＳ ゴシック"/>
                <w:color w:val="auto"/>
                <w:sz w:val="20"/>
              </w:rPr>
              <w:t>に</w:t>
            </w:r>
            <w:r w:rsidRPr="00AB6EA0">
              <w:rPr>
                <w:rFonts w:ascii="ＭＳ ゴシック" w:eastAsia="ＭＳ ゴシック" w:hAnsi="ＭＳ ゴシック" w:hint="default"/>
                <w:color w:val="auto"/>
                <w:sz w:val="20"/>
              </w:rPr>
              <w:t>加算できる最大ポイントは３ポイントとする。</w:t>
            </w:r>
          </w:p>
        </w:tc>
      </w:tr>
      <w:tr w:rsidR="00B63C16" w:rsidRPr="00AB6EA0" w:rsidTr="001B5401">
        <w:tc>
          <w:tcPr>
            <w:tcW w:w="3612" w:type="dxa"/>
            <w:shd w:val="clear" w:color="auto" w:fill="auto"/>
          </w:tcPr>
          <w:p w:rsidR="00B63C16" w:rsidRPr="005F1B11" w:rsidRDefault="001B5401" w:rsidP="0008651A">
            <w:pPr>
              <w:spacing w:line="60" w:lineRule="auto"/>
              <w:jc w:val="left"/>
              <w:rPr>
                <w:rFonts w:ascii="ＭＳ ゴシック" w:eastAsia="ＭＳ ゴシック" w:hAnsi="ＭＳ ゴシック" w:hint="default"/>
                <w:color w:val="auto"/>
                <w:sz w:val="20"/>
              </w:rPr>
            </w:pPr>
            <w:r>
              <w:rPr>
                <w:rFonts w:ascii="ＭＳ ゴシック" w:eastAsia="ＭＳ ゴシック" w:hAnsi="ＭＳ ゴシック"/>
                <w:color w:val="auto"/>
                <w:sz w:val="20"/>
              </w:rPr>
              <w:lastRenderedPageBreak/>
              <w:t>５</w:t>
            </w:r>
            <w:r w:rsidR="00B63C16" w:rsidRPr="005F1B11">
              <w:rPr>
                <w:rFonts w:ascii="ＭＳ ゴシック" w:eastAsia="ＭＳ ゴシック" w:hAnsi="ＭＳ ゴシック"/>
                <w:color w:val="auto"/>
                <w:sz w:val="20"/>
              </w:rPr>
              <w:t>．グローバル</w:t>
            </w:r>
            <w:r w:rsidR="00B63C16" w:rsidRPr="005F1B11">
              <w:rPr>
                <w:rFonts w:ascii="ＭＳ ゴシック" w:eastAsia="ＭＳ ゴシック" w:hAnsi="ＭＳ ゴシック" w:hint="default"/>
                <w:color w:val="auto"/>
                <w:sz w:val="20"/>
              </w:rPr>
              <w:t>産地計画</w:t>
            </w:r>
            <w:r w:rsidR="00B63C16" w:rsidRPr="005F1B11">
              <w:rPr>
                <w:rFonts w:ascii="ＭＳ ゴシック" w:eastAsia="ＭＳ ゴシック" w:hAnsi="ＭＳ ゴシック"/>
                <w:color w:val="auto"/>
                <w:sz w:val="20"/>
              </w:rPr>
              <w:t>との</w:t>
            </w:r>
            <w:r w:rsidR="00B63C16" w:rsidRPr="005F1B11">
              <w:rPr>
                <w:rFonts w:ascii="ＭＳ ゴシック" w:eastAsia="ＭＳ ゴシック" w:hAnsi="ＭＳ ゴシック" w:hint="default"/>
                <w:color w:val="auto"/>
                <w:sz w:val="20"/>
              </w:rPr>
              <w:t>連携</w:t>
            </w:r>
          </w:p>
          <w:p w:rsidR="00B63C16" w:rsidRPr="005F1B11" w:rsidRDefault="00B63C16" w:rsidP="003D5E4F">
            <w:pPr>
              <w:spacing w:line="60" w:lineRule="auto"/>
              <w:ind w:leftChars="100" w:left="240" w:firstLineChars="100" w:firstLine="200"/>
              <w:jc w:val="left"/>
              <w:rPr>
                <w:rFonts w:ascii="ＭＳ ゴシック" w:eastAsia="ＭＳ ゴシック" w:hAnsi="ＭＳ ゴシック" w:hint="default"/>
                <w:color w:val="auto"/>
                <w:sz w:val="20"/>
              </w:rPr>
            </w:pPr>
            <w:r>
              <w:rPr>
                <w:rFonts w:ascii="ＭＳ ゴシック" w:eastAsia="ＭＳ ゴシック" w:hAnsi="ＭＳ ゴシック"/>
                <w:color w:val="auto"/>
                <w:sz w:val="20"/>
              </w:rPr>
              <w:t>本要綱</w:t>
            </w:r>
            <w:r w:rsidRPr="005F1B11">
              <w:rPr>
                <w:rFonts w:ascii="ＭＳ ゴシック" w:eastAsia="ＭＳ ゴシック" w:hAnsi="ＭＳ ゴシック"/>
                <w:color w:val="auto"/>
                <w:sz w:val="20"/>
              </w:rPr>
              <w:t>第５の２のグローバル</w:t>
            </w:r>
            <w:r w:rsidRPr="005F1B11">
              <w:rPr>
                <w:rFonts w:ascii="ＭＳ ゴシック" w:eastAsia="ＭＳ ゴシック" w:hAnsi="ＭＳ ゴシック" w:hint="default"/>
                <w:color w:val="auto"/>
                <w:sz w:val="20"/>
              </w:rPr>
              <w:t>産地計画</w:t>
            </w:r>
            <w:r w:rsidRPr="005F1B11">
              <w:rPr>
                <w:rFonts w:ascii="ＭＳ ゴシック" w:eastAsia="ＭＳ ゴシック" w:hAnsi="ＭＳ ゴシック"/>
                <w:color w:val="auto"/>
                <w:sz w:val="20"/>
              </w:rPr>
              <w:t>に</w:t>
            </w:r>
            <w:r w:rsidRPr="005F1B11">
              <w:rPr>
                <w:rFonts w:ascii="ＭＳ ゴシック" w:eastAsia="ＭＳ ゴシック" w:hAnsi="ＭＳ ゴシック" w:hint="default"/>
                <w:color w:val="auto"/>
                <w:sz w:val="20"/>
              </w:rPr>
              <w:t>おいて、</w:t>
            </w:r>
            <w:r w:rsidRPr="005F1B11">
              <w:rPr>
                <w:rFonts w:ascii="ＭＳ ゴシック" w:eastAsia="ＭＳ ゴシック" w:hAnsi="ＭＳ ゴシック"/>
                <w:color w:val="auto"/>
                <w:sz w:val="20"/>
              </w:rPr>
              <w:t>本事業</w:t>
            </w:r>
            <w:r w:rsidRPr="005F1B11">
              <w:rPr>
                <w:rFonts w:ascii="ＭＳ ゴシック" w:eastAsia="ＭＳ ゴシック" w:hAnsi="ＭＳ ゴシック" w:hint="default"/>
                <w:color w:val="auto"/>
                <w:sz w:val="20"/>
              </w:rPr>
              <w:t>の活用が位置付けられ</w:t>
            </w:r>
            <w:r w:rsidRPr="005F1B11">
              <w:rPr>
                <w:rFonts w:ascii="ＭＳ ゴシック" w:eastAsia="ＭＳ ゴシック" w:hAnsi="ＭＳ ゴシック"/>
                <w:color w:val="auto"/>
                <w:sz w:val="20"/>
              </w:rPr>
              <w:t>て</w:t>
            </w:r>
            <w:r w:rsidR="003D5E4F">
              <w:rPr>
                <w:rFonts w:ascii="ＭＳ ゴシック" w:eastAsia="ＭＳ ゴシック" w:hAnsi="ＭＳ ゴシック"/>
                <w:color w:val="auto"/>
                <w:sz w:val="20"/>
              </w:rPr>
              <w:t>おり</w:t>
            </w:r>
            <w:r w:rsidR="003D5E4F">
              <w:rPr>
                <w:rFonts w:ascii="ＭＳ ゴシック" w:eastAsia="ＭＳ ゴシック" w:hAnsi="ＭＳ ゴシック" w:hint="default"/>
                <w:color w:val="auto"/>
                <w:sz w:val="20"/>
              </w:rPr>
              <w:t>、その内容が適切と判断される場合は</w:t>
            </w:r>
            <w:r w:rsidRPr="005F1B11">
              <w:rPr>
                <w:rFonts w:ascii="ＭＳ ゴシック" w:eastAsia="ＭＳ ゴシック" w:hAnsi="ＭＳ ゴシック"/>
                <w:color w:val="auto"/>
                <w:sz w:val="20"/>
              </w:rPr>
              <w:t>加算できるものとする。</w:t>
            </w:r>
          </w:p>
        </w:tc>
        <w:tc>
          <w:tcPr>
            <w:tcW w:w="3201"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r w:rsidRPr="00AB6EA0">
              <w:rPr>
                <w:rFonts w:ascii="ＭＳ ゴシック" w:eastAsia="ＭＳ ゴシック" w:hAnsi="ＭＳ ゴシック"/>
                <w:color w:val="auto"/>
                <w:sz w:val="20"/>
              </w:rPr>
              <w:t xml:space="preserve">　</w:t>
            </w:r>
            <w:r w:rsidRPr="00AB6EA0">
              <w:rPr>
                <w:rFonts w:ascii="ＭＳ ゴシック" w:eastAsia="ＭＳ ゴシック" w:hAnsi="ＭＳ ゴシック" w:hint="default"/>
                <w:color w:val="auto"/>
                <w:sz w:val="20"/>
              </w:rPr>
              <w:t>３ポイント</w:t>
            </w:r>
          </w:p>
        </w:tc>
        <w:tc>
          <w:tcPr>
            <w:tcW w:w="2225" w:type="dxa"/>
            <w:shd w:val="clear" w:color="auto" w:fill="auto"/>
          </w:tcPr>
          <w:p w:rsidR="00B63C16" w:rsidRPr="00AB6EA0" w:rsidRDefault="00B63C16" w:rsidP="0008651A">
            <w:pPr>
              <w:spacing w:line="60" w:lineRule="auto"/>
              <w:jc w:val="left"/>
              <w:rPr>
                <w:rFonts w:ascii="ＭＳ ゴシック" w:eastAsia="ＭＳ ゴシック" w:hAnsi="ＭＳ ゴシック" w:hint="default"/>
                <w:color w:val="auto"/>
                <w:sz w:val="20"/>
              </w:rPr>
            </w:pPr>
          </w:p>
        </w:tc>
      </w:tr>
    </w:tbl>
    <w:p w:rsidR="00B63C16" w:rsidRPr="00E508A2" w:rsidRDefault="00B63C16" w:rsidP="00B63C16">
      <w:pPr>
        <w:ind w:left="720" w:hangingChars="300" w:hanging="720"/>
        <w:jc w:val="left"/>
        <w:rPr>
          <w:rFonts w:ascii="ＭＳ ゴシック" w:eastAsia="ＭＳ ゴシック" w:hAnsi="ＭＳ ゴシック" w:hint="default"/>
          <w:color w:val="auto"/>
          <w:szCs w:val="24"/>
        </w:rPr>
      </w:pPr>
    </w:p>
    <w:sectPr w:rsidR="00B63C16" w:rsidRPr="00E508A2" w:rsidSect="006A4CF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3C16" w:rsidRDefault="00B63C16" w:rsidP="006A4CF7">
      <w:pPr>
        <w:rPr>
          <w:rFonts w:hint="default"/>
        </w:rPr>
      </w:pPr>
      <w:r>
        <w:separator/>
      </w:r>
    </w:p>
  </w:endnote>
  <w:endnote w:type="continuationSeparator" w:id="0">
    <w:p w:rsidR="00B63C16" w:rsidRDefault="00B63C16" w:rsidP="006A4CF7">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3C16" w:rsidRDefault="00B63C16" w:rsidP="006A4CF7">
      <w:pPr>
        <w:rPr>
          <w:rFonts w:hint="default"/>
        </w:rPr>
      </w:pPr>
      <w:r>
        <w:separator/>
      </w:r>
    </w:p>
  </w:footnote>
  <w:footnote w:type="continuationSeparator" w:id="0">
    <w:p w:rsidR="00B63C16" w:rsidRDefault="00B63C16" w:rsidP="006A4CF7">
      <w:pPr>
        <w:rPr>
          <w:rFonts w:hint="default"/>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811613"/>
    <w:multiLevelType w:val="hybridMultilevel"/>
    <w:tmpl w:val="3DFECD26"/>
    <w:lvl w:ilvl="0" w:tplc="4686FCC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0EF563E"/>
    <w:multiLevelType w:val="hybridMultilevel"/>
    <w:tmpl w:val="C65A0E92"/>
    <w:lvl w:ilvl="0" w:tplc="993C42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C16"/>
    <w:rsid w:val="001B5401"/>
    <w:rsid w:val="003D5E4F"/>
    <w:rsid w:val="006A4CF7"/>
    <w:rsid w:val="006E7A45"/>
    <w:rsid w:val="00B63C16"/>
    <w:rsid w:val="00B83F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chartTrackingRefBased/>
  <w15:docId w15:val="{B2AFE4EE-6CD1-4443-A812-EE9CE6DA9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3C16"/>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131</Words>
  <Characters>748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cp:revision>
  <dcterms:created xsi:type="dcterms:W3CDTF">2019-03-27T00:55:00Z</dcterms:created>
  <dcterms:modified xsi:type="dcterms:W3CDTF">2019-03-27T00:55:00Z</dcterms:modified>
</cp:coreProperties>
</file>